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D1CAD" w14:textId="77777777" w:rsidR="00D92B2B" w:rsidRDefault="00D92B2B" w:rsidP="009E1EF2">
      <w:pPr>
        <w:jc w:val="both"/>
        <w:rPr>
          <w:rFonts w:cstheme="minorHAnsi"/>
          <w:b/>
          <w:bCs/>
          <w:sz w:val="32"/>
          <w:szCs w:val="32"/>
          <w:shd w:val="clear" w:color="auto" w:fill="FFFFFF"/>
        </w:rPr>
      </w:pPr>
    </w:p>
    <w:p w14:paraId="4331F7A4" w14:textId="5AC2A3A7" w:rsidR="00DA71B1" w:rsidRPr="009E1EF2" w:rsidRDefault="00420126" w:rsidP="00D40988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b/>
          <w:bCs/>
          <w:sz w:val="32"/>
          <w:szCs w:val="32"/>
          <w:shd w:val="clear" w:color="auto" w:fill="FFFFFF"/>
        </w:rPr>
        <w:t>N</w:t>
      </w:r>
      <w:r w:rsidR="00CD6DF2">
        <w:rPr>
          <w:rFonts w:cstheme="minorHAnsi"/>
          <w:b/>
          <w:bCs/>
          <w:sz w:val="32"/>
          <w:szCs w:val="32"/>
          <w:shd w:val="clear" w:color="auto" w:fill="FFFFFF"/>
        </w:rPr>
        <w:t>ávštěvnost j</w:t>
      </w:r>
      <w:r w:rsidR="00751419" w:rsidRPr="00751419">
        <w:rPr>
          <w:rFonts w:cstheme="minorHAnsi"/>
          <w:b/>
          <w:bCs/>
          <w:sz w:val="32"/>
          <w:szCs w:val="32"/>
          <w:shd w:val="clear" w:color="auto" w:fill="FFFFFF"/>
        </w:rPr>
        <w:t>ižní Morav</w:t>
      </w:r>
      <w:r w:rsidR="00CD6DF2">
        <w:rPr>
          <w:rFonts w:cstheme="minorHAnsi"/>
          <w:b/>
          <w:bCs/>
          <w:sz w:val="32"/>
          <w:szCs w:val="32"/>
          <w:shd w:val="clear" w:color="auto" w:fill="FFFFFF"/>
        </w:rPr>
        <w:t>y v roce 2023</w:t>
      </w:r>
      <w:r>
        <w:rPr>
          <w:rFonts w:cstheme="minorHAnsi"/>
          <w:b/>
          <w:bCs/>
          <w:sz w:val="32"/>
          <w:szCs w:val="32"/>
          <w:shd w:val="clear" w:color="auto" w:fill="FFFFFF"/>
        </w:rPr>
        <w:t xml:space="preserve"> dle mobilních dat</w:t>
      </w:r>
    </w:p>
    <w:p w14:paraId="6697FB83" w14:textId="77777777" w:rsidR="00751419" w:rsidRDefault="00751419" w:rsidP="00D40988">
      <w:pPr>
        <w:jc w:val="both"/>
        <w:rPr>
          <w:rFonts w:cstheme="minorHAnsi"/>
          <w:shd w:val="clear" w:color="auto" w:fill="FFFFFF"/>
        </w:rPr>
      </w:pPr>
    </w:p>
    <w:p w14:paraId="308721B8" w14:textId="60D95FB4" w:rsidR="009E1EF2" w:rsidRPr="009E1EF2" w:rsidRDefault="00574F2E" w:rsidP="00D40988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10</w:t>
      </w:r>
      <w:r w:rsidR="009E1EF2" w:rsidRPr="009E1EF2">
        <w:rPr>
          <w:rFonts w:cstheme="minorHAnsi"/>
          <w:shd w:val="clear" w:color="auto" w:fill="FFFFFF"/>
        </w:rPr>
        <w:t>.</w:t>
      </w:r>
      <w:r w:rsidR="004E18A4">
        <w:rPr>
          <w:rFonts w:cstheme="minorHAnsi"/>
          <w:shd w:val="clear" w:color="auto" w:fill="FFFFFF"/>
        </w:rPr>
        <w:t>1</w:t>
      </w:r>
      <w:r w:rsidR="009E1EF2" w:rsidRPr="009E1EF2">
        <w:rPr>
          <w:rFonts w:cstheme="minorHAnsi"/>
          <w:shd w:val="clear" w:color="auto" w:fill="FFFFFF"/>
        </w:rPr>
        <w:t>.202</w:t>
      </w:r>
      <w:r w:rsidR="00CD6DF2">
        <w:rPr>
          <w:rFonts w:cstheme="minorHAnsi"/>
          <w:shd w:val="clear" w:color="auto" w:fill="FFFFFF"/>
        </w:rPr>
        <w:t>4</w:t>
      </w:r>
    </w:p>
    <w:p w14:paraId="4A7A57BD" w14:textId="3D14A656" w:rsidR="00DA71B1" w:rsidRPr="007F436A" w:rsidRDefault="009A3316" w:rsidP="00D40988">
      <w:pPr>
        <w:jc w:val="both"/>
        <w:rPr>
          <w:rFonts w:ascii="Segoe UI" w:hAnsi="Segoe UI" w:cs="Segoe UI"/>
          <w:b/>
          <w:bCs/>
          <w:sz w:val="20"/>
          <w:szCs w:val="20"/>
          <w:shd w:val="clear" w:color="auto" w:fill="FFFFFF"/>
        </w:rPr>
      </w:pPr>
      <w:r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>R</w:t>
      </w:r>
      <w:r w:rsidR="00CD6DF2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 xml:space="preserve">ok 2023 byl z pohledu turismu velmi vydařený. </w:t>
      </w:r>
      <w:r w:rsidR="00BE3B7B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 xml:space="preserve">Centrála cestovního </w:t>
      </w:r>
      <w:r w:rsidR="00BE3B7B" w:rsidRPr="00E04719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>ruchu</w:t>
      </w:r>
      <w:r w:rsidR="00E04719" w:rsidRPr="00E04719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 xml:space="preserve"> – Jižní Morava má </w:t>
      </w:r>
      <w:r w:rsidR="00405976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 xml:space="preserve">pro loňský rok </w:t>
      </w:r>
      <w:r w:rsidR="00E04719" w:rsidRPr="00E04719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>k dispozici data mobilních operátorů</w:t>
      </w:r>
      <w:r w:rsidR="00E04719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 xml:space="preserve">, která nabízejí </w:t>
      </w:r>
      <w:r w:rsidR="00405976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>další</w:t>
      </w:r>
      <w:r w:rsidR="00E04719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 xml:space="preserve"> pohled na pohyb osob po Jihomoravském kraji.</w:t>
      </w:r>
      <w:r w:rsidR="00E04719" w:rsidRPr="00E04719">
        <w:rPr>
          <w:rFonts w:ascii="Open Sans" w:hAnsi="Open Sans" w:cs="Open Sans"/>
          <w:b/>
          <w:bCs/>
          <w:color w:val="000000"/>
        </w:rPr>
        <w:t xml:space="preserve"> </w:t>
      </w:r>
      <w:r w:rsidR="00633E99" w:rsidRPr="00E04719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 xml:space="preserve">Dle </w:t>
      </w:r>
      <w:r w:rsidR="00405976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>těchto</w:t>
      </w:r>
      <w:r w:rsidR="00C96733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 xml:space="preserve"> </w:t>
      </w:r>
      <w:r w:rsidR="00E04719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>údajů přicestovalo v roce 2023</w:t>
      </w:r>
      <w:r w:rsidR="00633E99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 xml:space="preserve"> na </w:t>
      </w:r>
      <w:r w:rsidR="00CD6DF2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 xml:space="preserve">jižní Moravu </w:t>
      </w:r>
      <w:r w:rsidR="00E04719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 xml:space="preserve">téměř </w:t>
      </w:r>
      <w:r w:rsidR="00026FCF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 xml:space="preserve">10 </w:t>
      </w:r>
      <w:r w:rsidR="00633E99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>milionů turistů</w:t>
      </w:r>
      <w:r w:rsidR="00DC567D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>.</w:t>
      </w:r>
    </w:p>
    <w:p w14:paraId="637B4B65" w14:textId="77777777" w:rsidR="007F436A" w:rsidRPr="008F02D3" w:rsidRDefault="007F436A" w:rsidP="00D40988">
      <w:pPr>
        <w:pStyle w:val="Default"/>
        <w:jc w:val="both"/>
        <w:rPr>
          <w:rFonts w:asciiTheme="minorHAnsi" w:hAnsiTheme="minorHAnsi" w:cstheme="minorBidi"/>
          <w:color w:val="auto"/>
          <w:kern w:val="2"/>
          <w:sz w:val="22"/>
          <w:szCs w:val="22"/>
        </w:rPr>
      </w:pPr>
    </w:p>
    <w:p w14:paraId="345E8F55" w14:textId="142374AB" w:rsidR="007F436A" w:rsidRDefault="00F11B74" w:rsidP="00D40988">
      <w:pPr>
        <w:jc w:val="both"/>
      </w:pPr>
      <w:r w:rsidRPr="00383764">
        <w:t>Čísla dokládají že jižní Moravu vyhledává mimo Prahu dlouhodobě nejvíc turistů, zároveň tady ale tráví ze všech regionů nejkratší čas.</w:t>
      </w:r>
      <w:r w:rsidRPr="00445A1E">
        <w:rPr>
          <w:i/>
          <w:iCs/>
        </w:rPr>
        <w:t xml:space="preserve"> </w:t>
      </w:r>
      <w:r w:rsidR="00751419" w:rsidRPr="00445A1E">
        <w:rPr>
          <w:i/>
          <w:iCs/>
        </w:rPr>
        <w:t>„</w:t>
      </w:r>
      <w:r w:rsidR="00D40B42">
        <w:rPr>
          <w:i/>
          <w:iCs/>
        </w:rPr>
        <w:t xml:space="preserve">Rozhodli jsme se </w:t>
      </w:r>
      <w:r w:rsidR="00CE4F8C">
        <w:rPr>
          <w:i/>
          <w:iCs/>
        </w:rPr>
        <w:t xml:space="preserve">opět </w:t>
      </w:r>
      <w:r>
        <w:rPr>
          <w:i/>
          <w:iCs/>
        </w:rPr>
        <w:t>pohlédnout na návštěvnost optikou d</w:t>
      </w:r>
      <w:r w:rsidR="00420126">
        <w:rPr>
          <w:i/>
          <w:iCs/>
        </w:rPr>
        <w:t>at</w:t>
      </w:r>
      <w:r>
        <w:rPr>
          <w:i/>
          <w:iCs/>
        </w:rPr>
        <w:t xml:space="preserve"> mobilních operátorů, která nabízejí trochu jin</w:t>
      </w:r>
      <w:r w:rsidR="0070106D">
        <w:rPr>
          <w:i/>
          <w:iCs/>
        </w:rPr>
        <w:t>é</w:t>
      </w:r>
      <w:r>
        <w:rPr>
          <w:i/>
          <w:iCs/>
        </w:rPr>
        <w:t xml:space="preserve"> souvislosti než běžné statistiky</w:t>
      </w:r>
      <w:r w:rsidR="0070106D">
        <w:rPr>
          <w:i/>
          <w:iCs/>
        </w:rPr>
        <w:t xml:space="preserve"> z hromadných ubytovacích zařízení</w:t>
      </w:r>
      <w:r>
        <w:rPr>
          <w:i/>
          <w:iCs/>
        </w:rPr>
        <w:t>.</w:t>
      </w:r>
      <w:r w:rsidR="00383764">
        <w:rPr>
          <w:i/>
          <w:iCs/>
        </w:rPr>
        <w:t xml:space="preserve"> Můžeme podle nich </w:t>
      </w:r>
      <w:r w:rsidR="0070106D">
        <w:rPr>
          <w:i/>
          <w:iCs/>
        </w:rPr>
        <w:t xml:space="preserve">například </w:t>
      </w:r>
      <w:r w:rsidR="00383764">
        <w:rPr>
          <w:i/>
          <w:iCs/>
        </w:rPr>
        <w:t>lépe zachytit zdrojové oblasti z tuzemska, odkud za námi na jižní Moravu lidé míří,</w:t>
      </w:r>
      <w:r w:rsidR="00751419" w:rsidRPr="00445A1E">
        <w:rPr>
          <w:i/>
          <w:iCs/>
        </w:rPr>
        <w:t>“</w:t>
      </w:r>
      <w:r w:rsidR="00751419" w:rsidRPr="00445A1E">
        <w:t xml:space="preserve"> </w:t>
      </w:r>
      <w:r w:rsidR="000145DD">
        <w:t>přiblížila</w:t>
      </w:r>
      <w:r w:rsidR="00751419" w:rsidRPr="00445A1E">
        <w:t xml:space="preserve"> </w:t>
      </w:r>
      <w:r w:rsidR="00751419" w:rsidRPr="00445A1E">
        <w:rPr>
          <w:b/>
          <w:bCs/>
        </w:rPr>
        <w:t>Martina Grůzová, ředitelka Centrály cestovního ruchu – Jižní Morava</w:t>
      </w:r>
      <w:r w:rsidR="00751419">
        <w:t>.</w:t>
      </w:r>
    </w:p>
    <w:p w14:paraId="52F76B94" w14:textId="482348EE" w:rsidR="007F436A" w:rsidRPr="00711D1E" w:rsidRDefault="00711D1E" w:rsidP="00D40988">
      <w:pPr>
        <w:pStyle w:val="Default"/>
        <w:jc w:val="both"/>
        <w:rPr>
          <w:rFonts w:asciiTheme="minorHAnsi" w:hAnsiTheme="minorHAnsi" w:cstheme="minorBidi"/>
          <w:color w:val="auto"/>
          <w:kern w:val="2"/>
          <w:sz w:val="22"/>
          <w:szCs w:val="22"/>
        </w:rPr>
      </w:pPr>
      <w:r w:rsidRPr="2BA230B2">
        <w:rPr>
          <w:rFonts w:asciiTheme="minorHAnsi" w:hAnsiTheme="minorHAnsi" w:cstheme="minorBidi"/>
          <w:color w:val="auto"/>
          <w:kern w:val="2"/>
          <w:sz w:val="22"/>
          <w:szCs w:val="22"/>
        </w:rPr>
        <w:t xml:space="preserve">Data mobilních operátorů </w:t>
      </w:r>
      <w:r w:rsidR="001448CD" w:rsidRPr="2BA230B2">
        <w:rPr>
          <w:rFonts w:asciiTheme="minorHAnsi" w:hAnsiTheme="minorHAnsi" w:cstheme="minorBidi"/>
          <w:color w:val="auto"/>
          <w:kern w:val="2"/>
          <w:sz w:val="22"/>
          <w:szCs w:val="22"/>
        </w:rPr>
        <w:t>dokážou</w:t>
      </w:r>
      <w:r w:rsidRPr="2BA230B2">
        <w:rPr>
          <w:rFonts w:asciiTheme="minorHAnsi" w:hAnsiTheme="minorHAnsi" w:cstheme="minorBidi"/>
          <w:color w:val="auto"/>
          <w:kern w:val="2"/>
          <w:sz w:val="22"/>
          <w:szCs w:val="22"/>
        </w:rPr>
        <w:t xml:space="preserve"> </w:t>
      </w:r>
      <w:r w:rsidR="0070106D">
        <w:rPr>
          <w:rFonts w:asciiTheme="minorHAnsi" w:hAnsiTheme="minorHAnsi" w:cstheme="minorBidi"/>
          <w:color w:val="auto"/>
          <w:kern w:val="2"/>
          <w:sz w:val="22"/>
          <w:szCs w:val="22"/>
        </w:rPr>
        <w:t xml:space="preserve">vyčíslit skutečný </w:t>
      </w:r>
      <w:r w:rsidRPr="2BA230B2">
        <w:rPr>
          <w:rFonts w:asciiTheme="minorHAnsi" w:hAnsiTheme="minorHAnsi" w:cstheme="minorBidi"/>
          <w:color w:val="auto"/>
          <w:kern w:val="2"/>
          <w:sz w:val="22"/>
          <w:szCs w:val="22"/>
        </w:rPr>
        <w:t>podíl návštěvnosti</w:t>
      </w:r>
      <w:r w:rsidR="0070106D">
        <w:rPr>
          <w:rFonts w:asciiTheme="minorHAnsi" w:hAnsiTheme="minorHAnsi" w:cstheme="minorBidi"/>
          <w:color w:val="auto"/>
          <w:kern w:val="2"/>
          <w:sz w:val="22"/>
          <w:szCs w:val="22"/>
        </w:rPr>
        <w:t xml:space="preserve"> v kraji </w:t>
      </w:r>
      <w:r w:rsidRPr="2BA230B2">
        <w:rPr>
          <w:rFonts w:asciiTheme="minorHAnsi" w:hAnsiTheme="minorHAnsi" w:cstheme="minorBidi"/>
          <w:color w:val="auto"/>
          <w:kern w:val="2"/>
          <w:sz w:val="22"/>
          <w:szCs w:val="22"/>
        </w:rPr>
        <w:t>– ukazuje se, že v</w:t>
      </w:r>
      <w:r w:rsidR="0070106D">
        <w:rPr>
          <w:rFonts w:asciiTheme="minorHAnsi" w:hAnsiTheme="minorHAnsi" w:cstheme="minorBidi"/>
          <w:color w:val="auto"/>
          <w:kern w:val="2"/>
          <w:sz w:val="22"/>
          <w:szCs w:val="22"/>
        </w:rPr>
        <w:t> </w:t>
      </w:r>
      <w:r w:rsidRPr="2BA230B2">
        <w:rPr>
          <w:rFonts w:asciiTheme="minorHAnsi" w:hAnsiTheme="minorHAnsi" w:cstheme="minorBidi"/>
          <w:color w:val="auto"/>
          <w:kern w:val="2"/>
          <w:sz w:val="22"/>
          <w:szCs w:val="22"/>
        </w:rPr>
        <w:t>hromadných ubytovacích zařízeních je zachycena pouze čtvrtina návštěvníků regionu.</w:t>
      </w:r>
      <w:r w:rsidR="007F436A" w:rsidRPr="7288FA75">
        <w:rPr>
          <w:rFonts w:asciiTheme="minorHAnsi" w:hAnsiTheme="minorHAnsi" w:cstheme="minorBidi"/>
          <w:i/>
          <w:iCs/>
          <w:color w:val="auto"/>
          <w:kern w:val="2"/>
          <w:sz w:val="22"/>
          <w:szCs w:val="22"/>
        </w:rPr>
        <w:t xml:space="preserve"> </w:t>
      </w:r>
      <w:r w:rsidR="007F436A">
        <w:t>„</w:t>
      </w:r>
      <w:r w:rsidR="007F436A" w:rsidRPr="7288FA75">
        <w:rPr>
          <w:rFonts w:asciiTheme="minorHAnsi" w:hAnsiTheme="minorHAnsi" w:cstheme="minorBidi"/>
          <w:i/>
          <w:iCs/>
          <w:color w:val="auto"/>
          <w:kern w:val="2"/>
          <w:sz w:val="22"/>
          <w:szCs w:val="22"/>
        </w:rPr>
        <w:t>Vysílač vyhodnocuje, s jakou pravidelností a po jakou dobu se uživatel pohybuje v lokalitě. Díky tomu mobilní data zachycují reálnou dynamiky pohybu uživatelů v síti, která bude vždy vyšší než statistiky v</w:t>
      </w:r>
      <w:r w:rsidR="00E21705" w:rsidRPr="7288FA75">
        <w:rPr>
          <w:rFonts w:asciiTheme="minorHAnsi" w:hAnsiTheme="minorHAnsi" w:cstheme="minorBidi"/>
          <w:i/>
          <w:iCs/>
          <w:color w:val="auto"/>
          <w:kern w:val="2"/>
          <w:sz w:val="22"/>
          <w:szCs w:val="22"/>
        </w:rPr>
        <w:t> </w:t>
      </w:r>
      <w:r w:rsidR="007F436A" w:rsidRPr="7288FA75">
        <w:rPr>
          <w:rFonts w:asciiTheme="minorHAnsi" w:hAnsiTheme="minorHAnsi" w:cstheme="minorBidi"/>
          <w:i/>
          <w:iCs/>
          <w:color w:val="auto"/>
          <w:kern w:val="2"/>
          <w:sz w:val="22"/>
          <w:szCs w:val="22"/>
        </w:rPr>
        <w:t>registrovaných</w:t>
      </w:r>
      <w:r w:rsidR="00E21705" w:rsidRPr="7288FA75">
        <w:rPr>
          <w:rFonts w:asciiTheme="minorHAnsi" w:hAnsiTheme="minorHAnsi" w:cstheme="minorBidi"/>
          <w:i/>
          <w:iCs/>
          <w:color w:val="auto"/>
          <w:kern w:val="2"/>
          <w:sz w:val="22"/>
          <w:szCs w:val="22"/>
        </w:rPr>
        <w:t xml:space="preserve"> ubytovaných</w:t>
      </w:r>
      <w:r w:rsidR="007F436A" w:rsidRPr="7288FA75">
        <w:rPr>
          <w:rFonts w:asciiTheme="minorHAnsi" w:hAnsiTheme="minorHAnsi" w:cstheme="minorBidi"/>
          <w:i/>
          <w:iCs/>
          <w:color w:val="auto"/>
          <w:kern w:val="2"/>
          <w:sz w:val="22"/>
          <w:szCs w:val="22"/>
        </w:rPr>
        <w:t xml:space="preserve"> zařízeních</w:t>
      </w:r>
      <w:r w:rsidR="009A3316" w:rsidRPr="7288FA75">
        <w:rPr>
          <w:rFonts w:asciiTheme="minorHAnsi" w:hAnsiTheme="minorHAnsi" w:cstheme="minorBidi"/>
          <w:i/>
          <w:iCs/>
          <w:color w:val="auto"/>
          <w:kern w:val="2"/>
          <w:sz w:val="22"/>
          <w:szCs w:val="22"/>
        </w:rPr>
        <w:t>. Zachycuje například i individuální ubytování, nekomerční zařízení nebo cesty spojené s chatami a chalupami,</w:t>
      </w:r>
      <w:r w:rsidR="007F436A" w:rsidRPr="7288FA75">
        <w:rPr>
          <w:rFonts w:asciiTheme="minorHAnsi" w:hAnsiTheme="minorHAnsi" w:cstheme="minorBidi"/>
          <w:i/>
          <w:iCs/>
          <w:color w:val="auto"/>
          <w:kern w:val="2"/>
          <w:sz w:val="22"/>
          <w:szCs w:val="22"/>
        </w:rPr>
        <w:t xml:space="preserve">“ </w:t>
      </w:r>
      <w:r w:rsidR="007F436A" w:rsidRPr="2BA230B2">
        <w:rPr>
          <w:rFonts w:asciiTheme="minorHAnsi" w:hAnsiTheme="minorHAnsi" w:cstheme="minorBidi"/>
          <w:color w:val="auto"/>
          <w:kern w:val="2"/>
          <w:sz w:val="22"/>
          <w:szCs w:val="22"/>
        </w:rPr>
        <w:t xml:space="preserve">vysvětluje </w:t>
      </w:r>
      <w:r w:rsidR="007F436A" w:rsidRPr="7288FA75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>Martin Šauer z </w:t>
      </w:r>
      <w:r w:rsidR="3FDB342E" w:rsidRPr="7288FA75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>k</w:t>
      </w:r>
      <w:r w:rsidR="007F436A" w:rsidRPr="7288FA75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 xml:space="preserve">atedry </w:t>
      </w:r>
      <w:r w:rsidR="000C4C01" w:rsidRPr="7288FA75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>regionální ekonomie</w:t>
      </w:r>
      <w:r w:rsidR="007F436A" w:rsidRPr="7288FA75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 xml:space="preserve"> Masarykovy univerzity</w:t>
      </w:r>
      <w:r w:rsidR="007F436A" w:rsidRPr="7288FA75">
        <w:rPr>
          <w:rFonts w:asciiTheme="minorHAnsi" w:eastAsiaTheme="minorEastAsia" w:hAnsiTheme="minorHAnsi" w:cstheme="minorBidi"/>
          <w:color w:val="auto"/>
          <w:sz w:val="22"/>
          <w:szCs w:val="22"/>
        </w:rPr>
        <w:t>,</w:t>
      </w:r>
      <w:r w:rsidR="007F436A">
        <w:rPr>
          <w:color w:val="auto"/>
          <w:sz w:val="22"/>
          <w:szCs w:val="22"/>
        </w:rPr>
        <w:t xml:space="preserve"> </w:t>
      </w:r>
      <w:r w:rsidR="007F436A" w:rsidRPr="7288FA75">
        <w:rPr>
          <w:rFonts w:asciiTheme="minorHAnsi" w:eastAsiaTheme="minorEastAsia" w:hAnsiTheme="minorHAnsi" w:cstheme="minorBidi"/>
          <w:color w:val="auto"/>
          <w:sz w:val="22"/>
          <w:szCs w:val="22"/>
        </w:rPr>
        <w:t>který</w:t>
      </w:r>
      <w:r w:rsidR="3F0F79E4" w:rsidRPr="7288FA75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se dlouhodobě zabývá </w:t>
      </w:r>
      <w:r w:rsidR="000C4C01" w:rsidRPr="7288FA75">
        <w:rPr>
          <w:rFonts w:asciiTheme="minorHAnsi" w:eastAsiaTheme="minorEastAsia" w:hAnsiTheme="minorHAnsi" w:cstheme="minorBidi"/>
          <w:color w:val="auto"/>
          <w:sz w:val="22"/>
          <w:szCs w:val="22"/>
        </w:rPr>
        <w:t>problematikou signalizačních dat mobilních operátorů.</w:t>
      </w:r>
      <w:r w:rsidR="009A3316" w:rsidRPr="7288FA75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Díky těmto záznamům je možné lépe vyhodnotit </w:t>
      </w:r>
      <w:r w:rsidR="00026FCF">
        <w:rPr>
          <w:rFonts w:asciiTheme="minorHAnsi" w:eastAsiaTheme="minorEastAsia" w:hAnsiTheme="minorHAnsi" w:cstheme="minorBidi"/>
          <w:color w:val="auto"/>
          <w:sz w:val="22"/>
          <w:szCs w:val="22"/>
        </w:rPr>
        <w:t>celkový objem a strukturu</w:t>
      </w:r>
      <w:r w:rsidR="00026FCF" w:rsidRPr="7288FA75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="009A3316" w:rsidRPr="7288FA75">
        <w:rPr>
          <w:rFonts w:asciiTheme="minorHAnsi" w:eastAsiaTheme="minorEastAsia" w:hAnsiTheme="minorHAnsi" w:cstheme="minorBidi"/>
          <w:color w:val="auto"/>
          <w:sz w:val="22"/>
          <w:szCs w:val="22"/>
        </w:rPr>
        <w:t>poptávky po jižní Moravě.</w:t>
      </w:r>
      <w:r w:rsidR="00107D09" w:rsidRPr="7288FA75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Pokud se jedná o pravidelné cesty do regionu, algoritmus </w:t>
      </w:r>
      <w:r w:rsidR="007834BA">
        <w:rPr>
          <w:rFonts w:asciiTheme="minorHAnsi" w:eastAsiaTheme="minorEastAsia" w:hAnsiTheme="minorHAnsi" w:cstheme="minorBidi"/>
          <w:color w:val="auto"/>
          <w:sz w:val="22"/>
          <w:szCs w:val="22"/>
        </w:rPr>
        <w:t>je</w:t>
      </w:r>
      <w:r w:rsidR="00107D09" w:rsidRPr="7288FA75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dokáže vyhodnotit a dané osoby mezi </w:t>
      </w:r>
      <w:r w:rsidR="00D731F6" w:rsidRPr="7288FA75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návštěvníky </w:t>
      </w:r>
      <w:r w:rsidR="00107D09" w:rsidRPr="7288FA75">
        <w:rPr>
          <w:rFonts w:asciiTheme="minorHAnsi" w:eastAsiaTheme="minorEastAsia" w:hAnsiTheme="minorHAnsi" w:cstheme="minorBidi"/>
          <w:color w:val="auto"/>
          <w:sz w:val="22"/>
          <w:szCs w:val="22"/>
        </w:rPr>
        <w:t>nezařazuje.</w:t>
      </w:r>
    </w:p>
    <w:p w14:paraId="311053B7" w14:textId="77777777" w:rsidR="00711D1E" w:rsidRDefault="00711D1E" w:rsidP="00D40988">
      <w:pPr>
        <w:pStyle w:val="Default"/>
        <w:jc w:val="both"/>
        <w:rPr>
          <w:color w:val="auto"/>
          <w:sz w:val="22"/>
          <w:szCs w:val="22"/>
        </w:rPr>
      </w:pPr>
    </w:p>
    <w:p w14:paraId="3BF26F8C" w14:textId="4E9A082B" w:rsidR="00126963" w:rsidRDefault="007F436A" w:rsidP="00D40988">
      <w:pPr>
        <w:jc w:val="both"/>
      </w:pPr>
      <w:r w:rsidRPr="00E21705">
        <w:t xml:space="preserve">Zatímco záznamy hromadných ubytovacích zařízení </w:t>
      </w:r>
      <w:r w:rsidR="00A54F17">
        <w:t>během</w:t>
      </w:r>
      <w:r w:rsidRPr="00E21705">
        <w:t xml:space="preserve"> nejsilnější</w:t>
      </w:r>
      <w:r w:rsidR="00A54F17">
        <w:t xml:space="preserve">ch </w:t>
      </w:r>
      <w:r w:rsidRPr="00E21705">
        <w:t>letní</w:t>
      </w:r>
      <w:r w:rsidR="00A54F17">
        <w:t>ch</w:t>
      </w:r>
      <w:r w:rsidRPr="00E21705">
        <w:t xml:space="preserve"> měsíc</w:t>
      </w:r>
      <w:r w:rsidR="00A54F17">
        <w:t>ů</w:t>
      </w:r>
      <w:r w:rsidRPr="00E21705">
        <w:t xml:space="preserve"> evidují </w:t>
      </w:r>
      <w:r w:rsidR="00AC3520" w:rsidRPr="00E21705">
        <w:t xml:space="preserve">na jižní Moravě </w:t>
      </w:r>
      <w:r w:rsidRPr="00E21705">
        <w:t xml:space="preserve">necelých 900 000 turistů, podle mobilních dat zamířilo v létě na jižní Moravu </w:t>
      </w:r>
      <w:r w:rsidR="00750BC5">
        <w:t>více než 3,5</w:t>
      </w:r>
      <w:r w:rsidRPr="00E21705">
        <w:t xml:space="preserve"> milion</w:t>
      </w:r>
      <w:r w:rsidR="00C96733">
        <w:t>u</w:t>
      </w:r>
      <w:r w:rsidRPr="00E21705">
        <w:t xml:space="preserve"> </w:t>
      </w:r>
      <w:r w:rsidR="00AC3520" w:rsidRPr="00E21705">
        <w:t>turistů</w:t>
      </w:r>
      <w:r w:rsidRPr="00E21705">
        <w:t xml:space="preserve">. </w:t>
      </w:r>
      <w:r w:rsidR="00AC3520" w:rsidRPr="00E21705">
        <w:t xml:space="preserve">Jako obvykle </w:t>
      </w:r>
      <w:r w:rsidR="00AC3520">
        <w:t>převažují</w:t>
      </w:r>
      <w:r w:rsidR="00751419" w:rsidRPr="00357843">
        <w:t xml:space="preserve"> domácí </w:t>
      </w:r>
      <w:r w:rsidR="00AC3520">
        <w:t>návštěvníci</w:t>
      </w:r>
      <w:r w:rsidR="00751419" w:rsidRPr="00357843">
        <w:t xml:space="preserve"> nad těmi zahraničními v poměru </w:t>
      </w:r>
      <w:r w:rsidR="00644F8D">
        <w:t>90</w:t>
      </w:r>
      <w:r w:rsidR="00644F8D" w:rsidRPr="00357843">
        <w:t xml:space="preserve"> </w:t>
      </w:r>
      <w:r w:rsidR="00751419" w:rsidRPr="00357843">
        <w:t xml:space="preserve">ku </w:t>
      </w:r>
      <w:r w:rsidR="00644F8D">
        <w:t>10</w:t>
      </w:r>
      <w:r w:rsidR="00751419" w:rsidRPr="00357843">
        <w:t>. Ze zahraničí na jižní Moravu zavítalo</w:t>
      </w:r>
      <w:r w:rsidR="007834BA">
        <w:t xml:space="preserve"> v</w:t>
      </w:r>
      <w:r w:rsidR="00A54F17">
        <w:t> letních měsících</w:t>
      </w:r>
      <w:r w:rsidR="00AC3520">
        <w:t xml:space="preserve"> </w:t>
      </w:r>
      <w:r w:rsidR="00026FCF">
        <w:t>více než 350 tis</w:t>
      </w:r>
      <w:r w:rsidR="00477840">
        <w:t>íc</w:t>
      </w:r>
      <w:r w:rsidR="00A54F17">
        <w:t xml:space="preserve"> turistů</w:t>
      </w:r>
      <w:r w:rsidR="00795A61">
        <w:t>.</w:t>
      </w:r>
      <w:r w:rsidR="00751419" w:rsidRPr="00357843">
        <w:t xml:space="preserve"> </w:t>
      </w:r>
      <w:r w:rsidR="00795A61">
        <w:t>Cestu si sem nacházejí p</w:t>
      </w:r>
      <w:r w:rsidR="00751419" w:rsidRPr="00357843">
        <w:t xml:space="preserve">ředevším </w:t>
      </w:r>
      <w:r w:rsidR="00795A61">
        <w:t xml:space="preserve">turisté </w:t>
      </w:r>
      <w:r w:rsidR="00751419" w:rsidRPr="00357843">
        <w:t xml:space="preserve">ze sousedních zemí: </w:t>
      </w:r>
      <w:r w:rsidR="00795A61">
        <w:t>z</w:t>
      </w:r>
      <w:r w:rsidR="00751419" w:rsidRPr="00357843">
        <w:t> Polska,</w:t>
      </w:r>
      <w:r w:rsidR="00795A61">
        <w:t xml:space="preserve"> </w:t>
      </w:r>
      <w:r w:rsidR="00751419" w:rsidRPr="00357843">
        <w:t xml:space="preserve">ze Slovenska </w:t>
      </w:r>
      <w:r w:rsidR="00795A61">
        <w:t>a</w:t>
      </w:r>
      <w:r w:rsidR="00751419" w:rsidRPr="00357843">
        <w:t xml:space="preserve"> z</w:t>
      </w:r>
      <w:r w:rsidR="00A54F17">
        <w:t> </w:t>
      </w:r>
      <w:r w:rsidR="00751419" w:rsidRPr="00357843">
        <w:t xml:space="preserve">Německa. </w:t>
      </w:r>
    </w:p>
    <w:p w14:paraId="30BCB6C1" w14:textId="39DCE918" w:rsidR="00194931" w:rsidRDefault="003132E2" w:rsidP="00D40988">
      <w:pPr>
        <w:jc w:val="both"/>
      </w:pPr>
      <w:r>
        <w:t>Regiony</w:t>
      </w:r>
      <w:r w:rsidR="0099377F">
        <w:t xml:space="preserve"> jako </w:t>
      </w:r>
      <w:r>
        <w:t>Moravský kras nebo Brněnsko</w:t>
      </w:r>
      <w:r w:rsidR="0099377F">
        <w:t xml:space="preserve"> mají návštěvnost celoročně stabilní</w:t>
      </w:r>
      <w:r>
        <w:t>. Naopak u Znojemska a</w:t>
      </w:r>
      <w:r w:rsidR="00DE6C35">
        <w:t> </w:t>
      </w:r>
      <w:r>
        <w:t>Podyjí či Pálavy a Lednicko-valtického areálu je v datech patrný výrazný nárůst návštěvnosti v době léta a vinobraní, zejména s </w:t>
      </w:r>
      <w:r w:rsidR="00DE6C35">
        <w:t>přihlédnutím</w:t>
      </w:r>
      <w:r>
        <w:t xml:space="preserve"> na počet přenocování v lokalitě.</w:t>
      </w:r>
      <w:r w:rsidR="00E21705">
        <w:t xml:space="preserve"> </w:t>
      </w:r>
      <w:r w:rsidR="00194931">
        <w:t>„</w:t>
      </w:r>
      <w:r w:rsidR="00E51E05" w:rsidRPr="00477840">
        <w:rPr>
          <w:i/>
          <w:iCs/>
        </w:rPr>
        <w:t xml:space="preserve">Data za poslední čtvrtletí roku </w:t>
      </w:r>
      <w:r w:rsidR="003513E3" w:rsidRPr="00477840">
        <w:rPr>
          <w:i/>
          <w:iCs/>
        </w:rPr>
        <w:t xml:space="preserve">2023 ještě zpracováváme. </w:t>
      </w:r>
      <w:r w:rsidR="00194931" w:rsidRPr="00DE6C35">
        <w:rPr>
          <w:i/>
          <w:iCs/>
        </w:rPr>
        <w:t xml:space="preserve">Vidíme nicméně už nyní, že vinařská turistika ve třetím čtvrtletí měla na návštěvnost regionu významný vliv a jsme zvědaví, jak se do čísel </w:t>
      </w:r>
      <w:r w:rsidR="00DE6C35">
        <w:rPr>
          <w:i/>
          <w:iCs/>
        </w:rPr>
        <w:t xml:space="preserve">za poslední čtvrtletí </w:t>
      </w:r>
      <w:r w:rsidR="00194931" w:rsidRPr="00DE6C35">
        <w:rPr>
          <w:i/>
          <w:iCs/>
        </w:rPr>
        <w:t>promítne návštěvnost vánočního Brna,</w:t>
      </w:r>
      <w:r w:rsidR="00194931">
        <w:t xml:space="preserve">“ </w:t>
      </w:r>
      <w:r w:rsidR="00194931" w:rsidRPr="00A94B2F">
        <w:rPr>
          <w:b/>
          <w:bCs/>
        </w:rPr>
        <w:t xml:space="preserve">shrnula </w:t>
      </w:r>
      <w:r w:rsidR="00A94B2F" w:rsidRPr="00445A1E">
        <w:rPr>
          <w:b/>
          <w:bCs/>
        </w:rPr>
        <w:t>ředitelka Centrály cestovního ruchu – Jižní Morava</w:t>
      </w:r>
      <w:r w:rsidR="00A94B2F">
        <w:rPr>
          <w:b/>
          <w:bCs/>
        </w:rPr>
        <w:t xml:space="preserve"> Martina Grůzová</w:t>
      </w:r>
      <w:r w:rsidR="00A94B2F">
        <w:t>.</w:t>
      </w:r>
    </w:p>
    <w:p w14:paraId="308E4355" w14:textId="552E0A16" w:rsidR="003132E2" w:rsidRDefault="00194931" w:rsidP="00D40988">
      <w:pPr>
        <w:jc w:val="both"/>
      </w:pPr>
      <w:r>
        <w:t>V únoru budou zveřejněna data návštěvnosti</w:t>
      </w:r>
      <w:r w:rsidR="00A94B2F">
        <w:t xml:space="preserve"> za poslední čtvrtletí</w:t>
      </w:r>
      <w:r>
        <w:t xml:space="preserve"> </w:t>
      </w:r>
      <w:r w:rsidR="00DE6C35">
        <w:t xml:space="preserve">také </w:t>
      </w:r>
      <w:r>
        <w:t>od Českého statistického úřadu</w:t>
      </w:r>
      <w:r w:rsidR="00DE6C35">
        <w:t>, s pomocí kompletních mobilních dat za rok 2023 tak bude možné</w:t>
      </w:r>
      <w:r w:rsidR="00037E08">
        <w:t xml:space="preserve"> zachytit </w:t>
      </w:r>
      <w:r w:rsidR="007834BA">
        <w:t xml:space="preserve">na jižní Moravě </w:t>
      </w:r>
      <w:r w:rsidR="00037E08">
        <w:t>celoroční návštěvn</w:t>
      </w:r>
      <w:r w:rsidR="00DE6C35">
        <w:t>ické trendy</w:t>
      </w:r>
      <w:r w:rsidR="00037E08">
        <w:t>.</w:t>
      </w:r>
    </w:p>
    <w:p w14:paraId="382F5BBE" w14:textId="77777777" w:rsidR="003132E2" w:rsidRDefault="003132E2" w:rsidP="00D40988">
      <w:pPr>
        <w:jc w:val="both"/>
      </w:pPr>
    </w:p>
    <w:p w14:paraId="55BB63EC" w14:textId="77777777" w:rsidR="0099377F" w:rsidRDefault="0099377F">
      <w:pPr>
        <w:rPr>
          <w:b/>
          <w:bCs/>
          <w:i/>
          <w:iCs/>
          <w:color w:val="FB5271"/>
        </w:rPr>
      </w:pPr>
      <w:r>
        <w:rPr>
          <w:b/>
          <w:bCs/>
          <w:color w:val="FB5271"/>
        </w:rPr>
        <w:br w:type="page"/>
      </w:r>
    </w:p>
    <w:p w14:paraId="53E500E2" w14:textId="28B4E0B0" w:rsidR="00E240A7" w:rsidRPr="00A37FE9" w:rsidRDefault="00E240A7" w:rsidP="00E240A7">
      <w:pPr>
        <w:pStyle w:val="Titulek"/>
        <w:keepNext/>
        <w:rPr>
          <w:b/>
          <w:bCs/>
          <w:color w:val="FB5271"/>
          <w:sz w:val="22"/>
          <w:szCs w:val="22"/>
        </w:rPr>
      </w:pPr>
      <w:r>
        <w:rPr>
          <w:b/>
          <w:bCs/>
          <w:color w:val="FB5271"/>
          <w:sz w:val="22"/>
          <w:szCs w:val="22"/>
        </w:rPr>
        <w:lastRenderedPageBreak/>
        <w:t>N</w:t>
      </w:r>
      <w:r w:rsidRPr="00A37FE9">
        <w:rPr>
          <w:b/>
          <w:bCs/>
          <w:color w:val="FB5271"/>
          <w:sz w:val="22"/>
          <w:szCs w:val="22"/>
        </w:rPr>
        <w:t>ávštěvnost jednotlivých oblastí Jihomoravského kraje dle dat mobilních operátorů</w:t>
      </w:r>
    </w:p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984"/>
        <w:gridCol w:w="1985"/>
      </w:tblGrid>
      <w:tr w:rsidR="00037E08" w14:paraId="74612E87" w14:textId="1B1ED6E2" w:rsidTr="00835923">
        <w:trPr>
          <w:trHeight w:val="854"/>
        </w:trPr>
        <w:tc>
          <w:tcPr>
            <w:tcW w:w="2122" w:type="dxa"/>
          </w:tcPr>
          <w:p w14:paraId="135FC37C" w14:textId="77777777" w:rsidR="00037E08" w:rsidRPr="00A37FE9" w:rsidRDefault="00037E08" w:rsidP="00037E08">
            <w:pPr>
              <w:rPr>
                <w:b/>
                <w:bCs/>
                <w:color w:val="1D34FE"/>
              </w:rPr>
            </w:pPr>
            <w:r w:rsidRPr="00A37FE9">
              <w:rPr>
                <w:b/>
                <w:bCs/>
                <w:color w:val="1D34FE"/>
              </w:rPr>
              <w:t>Oblast</w:t>
            </w:r>
          </w:p>
        </w:tc>
        <w:tc>
          <w:tcPr>
            <w:tcW w:w="1984" w:type="dxa"/>
          </w:tcPr>
          <w:p w14:paraId="69B4AE02" w14:textId="0048249B" w:rsidR="00037E08" w:rsidRDefault="00037E08" w:rsidP="00037E08">
            <w:pPr>
              <w:rPr>
                <w:b/>
                <w:bCs/>
                <w:color w:val="1D34FE"/>
              </w:rPr>
            </w:pPr>
            <w:r>
              <w:rPr>
                <w:b/>
                <w:bCs/>
                <w:color w:val="1D34FE"/>
              </w:rPr>
              <w:t>Počet přenocování</w:t>
            </w:r>
            <w:r w:rsidRPr="00A37FE9">
              <w:rPr>
                <w:b/>
                <w:bCs/>
                <w:color w:val="1D34FE"/>
              </w:rPr>
              <w:t xml:space="preserve"> </w:t>
            </w:r>
            <w:r>
              <w:rPr>
                <w:b/>
                <w:bCs/>
                <w:color w:val="1D34FE"/>
              </w:rPr>
              <w:t>4</w:t>
            </w:r>
            <w:r w:rsidRPr="00A37FE9">
              <w:rPr>
                <w:b/>
                <w:bCs/>
                <w:color w:val="1D34FE"/>
              </w:rPr>
              <w:t>Q</w:t>
            </w:r>
            <w:r>
              <w:rPr>
                <w:b/>
                <w:bCs/>
                <w:color w:val="1D34FE"/>
              </w:rPr>
              <w:t xml:space="preserve"> 2022</w:t>
            </w:r>
            <w:r>
              <w:rPr>
                <w:b/>
                <w:bCs/>
                <w:color w:val="1D34FE"/>
              </w:rPr>
              <w:br/>
            </w:r>
            <w:r w:rsidRPr="00835923">
              <w:rPr>
                <w:color w:val="1D34FE"/>
              </w:rPr>
              <w:t>(% zahraniční)</w:t>
            </w:r>
          </w:p>
        </w:tc>
        <w:tc>
          <w:tcPr>
            <w:tcW w:w="1985" w:type="dxa"/>
          </w:tcPr>
          <w:p w14:paraId="5BDB2D4F" w14:textId="770A7B75" w:rsidR="00037E08" w:rsidRPr="00A37FE9" w:rsidRDefault="00037E08" w:rsidP="00037E08">
            <w:pPr>
              <w:rPr>
                <w:b/>
                <w:bCs/>
                <w:color w:val="1D34FE"/>
              </w:rPr>
            </w:pPr>
            <w:r>
              <w:rPr>
                <w:b/>
                <w:bCs/>
                <w:color w:val="1D34FE"/>
              </w:rPr>
              <w:t>Počet přenocování 1</w:t>
            </w:r>
            <w:r w:rsidRPr="00A37FE9">
              <w:rPr>
                <w:b/>
                <w:bCs/>
                <w:color w:val="1D34FE"/>
              </w:rPr>
              <w:t>Q</w:t>
            </w:r>
            <w:r>
              <w:rPr>
                <w:b/>
                <w:bCs/>
                <w:color w:val="1D34FE"/>
              </w:rPr>
              <w:t xml:space="preserve"> 2023</w:t>
            </w:r>
            <w:r>
              <w:rPr>
                <w:b/>
                <w:bCs/>
                <w:color w:val="1D34FE"/>
              </w:rPr>
              <w:br/>
              <w:t xml:space="preserve"> </w:t>
            </w:r>
            <w:r w:rsidRPr="00835923">
              <w:rPr>
                <w:color w:val="1D34FE"/>
              </w:rPr>
              <w:t>(% zahraniční)</w:t>
            </w:r>
          </w:p>
        </w:tc>
        <w:tc>
          <w:tcPr>
            <w:tcW w:w="1984" w:type="dxa"/>
          </w:tcPr>
          <w:p w14:paraId="0266118F" w14:textId="1CB11C0D" w:rsidR="00037E08" w:rsidRPr="00A37FE9" w:rsidRDefault="00037E08" w:rsidP="00037E08">
            <w:pPr>
              <w:rPr>
                <w:b/>
                <w:bCs/>
                <w:color w:val="1D34FE"/>
              </w:rPr>
            </w:pPr>
            <w:r>
              <w:rPr>
                <w:b/>
                <w:bCs/>
                <w:color w:val="1D34FE"/>
              </w:rPr>
              <w:t>Počet přenocování</w:t>
            </w:r>
            <w:r w:rsidRPr="00A37FE9">
              <w:rPr>
                <w:b/>
                <w:bCs/>
                <w:color w:val="1D34FE"/>
              </w:rPr>
              <w:t xml:space="preserve"> </w:t>
            </w:r>
            <w:r>
              <w:rPr>
                <w:b/>
                <w:bCs/>
                <w:color w:val="1D34FE"/>
              </w:rPr>
              <w:t>2</w:t>
            </w:r>
            <w:r w:rsidRPr="00A37FE9">
              <w:rPr>
                <w:b/>
                <w:bCs/>
                <w:color w:val="1D34FE"/>
              </w:rPr>
              <w:t>Q</w:t>
            </w:r>
            <w:r>
              <w:rPr>
                <w:b/>
                <w:bCs/>
                <w:color w:val="1D34FE"/>
              </w:rPr>
              <w:t xml:space="preserve"> 2023</w:t>
            </w:r>
            <w:r>
              <w:rPr>
                <w:b/>
                <w:bCs/>
                <w:color w:val="1D34FE"/>
              </w:rPr>
              <w:br/>
              <w:t xml:space="preserve"> </w:t>
            </w:r>
            <w:r w:rsidRPr="00835923">
              <w:rPr>
                <w:color w:val="1D34FE"/>
              </w:rPr>
              <w:t>(% zahraniční)</w:t>
            </w:r>
          </w:p>
        </w:tc>
        <w:tc>
          <w:tcPr>
            <w:tcW w:w="1985" w:type="dxa"/>
          </w:tcPr>
          <w:p w14:paraId="20BC56F8" w14:textId="1E09F4A5" w:rsidR="00037E08" w:rsidRPr="00A37FE9" w:rsidRDefault="00037E08" w:rsidP="00037E08">
            <w:pPr>
              <w:rPr>
                <w:b/>
                <w:bCs/>
                <w:color w:val="1D34FE"/>
              </w:rPr>
            </w:pPr>
            <w:r>
              <w:rPr>
                <w:b/>
                <w:bCs/>
                <w:color w:val="1D34FE"/>
              </w:rPr>
              <w:t>Počet přenocování</w:t>
            </w:r>
            <w:r w:rsidRPr="00A37FE9">
              <w:rPr>
                <w:b/>
                <w:bCs/>
                <w:color w:val="1D34FE"/>
              </w:rPr>
              <w:t xml:space="preserve"> </w:t>
            </w:r>
            <w:r>
              <w:rPr>
                <w:b/>
                <w:bCs/>
                <w:color w:val="1D34FE"/>
              </w:rPr>
              <w:t>3</w:t>
            </w:r>
            <w:r w:rsidRPr="00A37FE9">
              <w:rPr>
                <w:b/>
                <w:bCs/>
                <w:color w:val="1D34FE"/>
              </w:rPr>
              <w:t>Q</w:t>
            </w:r>
            <w:r>
              <w:rPr>
                <w:b/>
                <w:bCs/>
                <w:color w:val="1D34FE"/>
              </w:rPr>
              <w:t xml:space="preserve"> 2023</w:t>
            </w:r>
            <w:r>
              <w:rPr>
                <w:b/>
                <w:bCs/>
                <w:color w:val="1D34FE"/>
              </w:rPr>
              <w:br/>
            </w:r>
            <w:r w:rsidRPr="00835923">
              <w:rPr>
                <w:color w:val="1D34FE"/>
              </w:rPr>
              <w:t>(% zahraniční)</w:t>
            </w:r>
          </w:p>
        </w:tc>
      </w:tr>
      <w:tr w:rsidR="00037E08" w14:paraId="4148B930" w14:textId="213D0A9B" w:rsidTr="00835923">
        <w:trPr>
          <w:trHeight w:val="290"/>
        </w:trPr>
        <w:tc>
          <w:tcPr>
            <w:tcW w:w="2122" w:type="dxa"/>
          </w:tcPr>
          <w:p w14:paraId="4F42D7FE" w14:textId="77777777" w:rsidR="00037E08" w:rsidRPr="00B25730" w:rsidRDefault="00037E08" w:rsidP="00037E08">
            <w:pPr>
              <w:rPr>
                <w:b/>
                <w:bCs/>
              </w:rPr>
            </w:pPr>
            <w:r w:rsidRPr="00B25730">
              <w:rPr>
                <w:b/>
                <w:bCs/>
              </w:rPr>
              <w:t>Brno a okolí</w:t>
            </w:r>
          </w:p>
        </w:tc>
        <w:tc>
          <w:tcPr>
            <w:tcW w:w="1984" w:type="dxa"/>
          </w:tcPr>
          <w:p w14:paraId="1A021FC7" w14:textId="2D1CB134" w:rsidR="00037E08" w:rsidRDefault="000D0C46" w:rsidP="00037E08">
            <w:r>
              <w:t>1 531 038</w:t>
            </w:r>
            <w:r w:rsidR="00037E08">
              <w:t xml:space="preserve"> </w:t>
            </w:r>
            <w:r w:rsidR="00037E08" w:rsidRPr="00835923">
              <w:rPr>
                <w:color w:val="1D34FE"/>
              </w:rPr>
              <w:t>(</w:t>
            </w:r>
            <w:r w:rsidR="00E40CDF" w:rsidRPr="00835923">
              <w:rPr>
                <w:color w:val="1D34FE"/>
              </w:rPr>
              <w:t>1</w:t>
            </w:r>
            <w:r w:rsidR="00037E08" w:rsidRPr="00835923">
              <w:rPr>
                <w:color w:val="1D34FE"/>
              </w:rPr>
              <w:t>5 %)</w:t>
            </w:r>
          </w:p>
        </w:tc>
        <w:tc>
          <w:tcPr>
            <w:tcW w:w="1985" w:type="dxa"/>
          </w:tcPr>
          <w:p w14:paraId="52651B4A" w14:textId="09773EA5" w:rsidR="00037E08" w:rsidRDefault="00037E08" w:rsidP="00037E08">
            <w:r>
              <w:t xml:space="preserve">1 241 062 </w:t>
            </w:r>
            <w:r w:rsidRPr="00835923">
              <w:rPr>
                <w:color w:val="1D34FE"/>
              </w:rPr>
              <w:t>(14 %)</w:t>
            </w:r>
          </w:p>
        </w:tc>
        <w:tc>
          <w:tcPr>
            <w:tcW w:w="1984" w:type="dxa"/>
          </w:tcPr>
          <w:p w14:paraId="0BD4D4EE" w14:textId="054C4F9E" w:rsidR="00037E08" w:rsidRDefault="00037E08" w:rsidP="00037E08">
            <w:r>
              <w:t xml:space="preserve">1 694 604 </w:t>
            </w:r>
            <w:r w:rsidRPr="00835923">
              <w:rPr>
                <w:color w:val="1D34FE"/>
              </w:rPr>
              <w:t>(14 %)</w:t>
            </w:r>
          </w:p>
        </w:tc>
        <w:tc>
          <w:tcPr>
            <w:tcW w:w="1985" w:type="dxa"/>
          </w:tcPr>
          <w:p w14:paraId="7EF96947" w14:textId="08F0A05E" w:rsidR="00037E08" w:rsidRDefault="00037E08" w:rsidP="00037E08">
            <w:r>
              <w:t>2</w:t>
            </w:r>
            <w:r w:rsidR="00A6193E">
              <w:t xml:space="preserve"> </w:t>
            </w:r>
            <w:r>
              <w:t xml:space="preserve">027 294 </w:t>
            </w:r>
            <w:r w:rsidRPr="00E65A53">
              <w:rPr>
                <w:color w:val="1D34FE"/>
              </w:rPr>
              <w:t>(14 %)</w:t>
            </w:r>
          </w:p>
        </w:tc>
      </w:tr>
      <w:tr w:rsidR="00037E08" w14:paraId="36521863" w14:textId="27C5D6C1" w:rsidTr="00835923">
        <w:trPr>
          <w:trHeight w:val="290"/>
        </w:trPr>
        <w:tc>
          <w:tcPr>
            <w:tcW w:w="2122" w:type="dxa"/>
          </w:tcPr>
          <w:p w14:paraId="274BC601" w14:textId="77777777" w:rsidR="00037E08" w:rsidRPr="00B25730" w:rsidRDefault="00037E08" w:rsidP="00037E08">
            <w:pPr>
              <w:rPr>
                <w:b/>
                <w:bCs/>
              </w:rPr>
            </w:pPr>
            <w:r w:rsidRPr="00B25730">
              <w:rPr>
                <w:b/>
                <w:bCs/>
              </w:rPr>
              <w:t>Lednicko-valtický areál a</w:t>
            </w:r>
            <w:r w:rsidRPr="00B25730">
              <w:rPr>
                <w:rFonts w:cstheme="minorHAnsi"/>
                <w:b/>
                <w:bCs/>
              </w:rPr>
              <w:t> </w:t>
            </w:r>
            <w:r w:rsidRPr="00B25730">
              <w:rPr>
                <w:b/>
                <w:bCs/>
              </w:rPr>
              <w:t>Hustopečsko</w:t>
            </w:r>
          </w:p>
        </w:tc>
        <w:tc>
          <w:tcPr>
            <w:tcW w:w="1984" w:type="dxa"/>
          </w:tcPr>
          <w:p w14:paraId="6A3AD8F5" w14:textId="5C466068" w:rsidR="00037E08" w:rsidRDefault="000D0C46" w:rsidP="00037E08">
            <w:r>
              <w:t>351 901</w:t>
            </w:r>
            <w:r w:rsidR="00E40CDF">
              <w:t xml:space="preserve"> </w:t>
            </w:r>
            <w:r w:rsidR="00037E08" w:rsidRPr="00835923">
              <w:rPr>
                <w:color w:val="1D34FE"/>
              </w:rPr>
              <w:t>(</w:t>
            </w:r>
            <w:r w:rsidR="009A7093" w:rsidRPr="00835923">
              <w:rPr>
                <w:color w:val="1D34FE"/>
              </w:rPr>
              <w:t>9</w:t>
            </w:r>
            <w:r w:rsidR="00037E08" w:rsidRPr="00835923">
              <w:rPr>
                <w:color w:val="1D34FE"/>
              </w:rPr>
              <w:t xml:space="preserve"> %)</w:t>
            </w:r>
          </w:p>
        </w:tc>
        <w:tc>
          <w:tcPr>
            <w:tcW w:w="1985" w:type="dxa"/>
          </w:tcPr>
          <w:p w14:paraId="20F7CCDD" w14:textId="3E68EBA1" w:rsidR="00037E08" w:rsidRDefault="00037E08" w:rsidP="00037E08">
            <w:r>
              <w:t xml:space="preserve">175 906 </w:t>
            </w:r>
            <w:r w:rsidRPr="00835923">
              <w:rPr>
                <w:color w:val="1D34FE"/>
              </w:rPr>
              <w:t>(12 %)</w:t>
            </w:r>
          </w:p>
        </w:tc>
        <w:tc>
          <w:tcPr>
            <w:tcW w:w="1984" w:type="dxa"/>
          </w:tcPr>
          <w:p w14:paraId="5D7AEC1C" w14:textId="2AFF9036" w:rsidR="00037E08" w:rsidRDefault="00037E08" w:rsidP="00037E08">
            <w:r>
              <w:t xml:space="preserve">462 057 </w:t>
            </w:r>
            <w:r w:rsidRPr="00835923">
              <w:rPr>
                <w:color w:val="1D34FE"/>
              </w:rPr>
              <w:t>(10 %)</w:t>
            </w:r>
          </w:p>
        </w:tc>
        <w:tc>
          <w:tcPr>
            <w:tcW w:w="1985" w:type="dxa"/>
          </w:tcPr>
          <w:p w14:paraId="4FC0E65B" w14:textId="5D04D899" w:rsidR="00037E08" w:rsidRDefault="00037E08" w:rsidP="00037E08">
            <w:r>
              <w:t xml:space="preserve">730 998 </w:t>
            </w:r>
            <w:r w:rsidRPr="00E65A53">
              <w:rPr>
                <w:color w:val="1D34FE"/>
              </w:rPr>
              <w:t>(9 %)</w:t>
            </w:r>
          </w:p>
        </w:tc>
      </w:tr>
      <w:tr w:rsidR="00037E08" w14:paraId="1D8BFF19" w14:textId="1E81E9BD" w:rsidTr="00835923">
        <w:trPr>
          <w:trHeight w:val="274"/>
        </w:trPr>
        <w:tc>
          <w:tcPr>
            <w:tcW w:w="2122" w:type="dxa"/>
          </w:tcPr>
          <w:p w14:paraId="067E53F4" w14:textId="141FAD60" w:rsidR="00037E08" w:rsidRPr="00B25730" w:rsidRDefault="00037E08" w:rsidP="00037E08">
            <w:pPr>
              <w:rPr>
                <w:b/>
                <w:bCs/>
              </w:rPr>
            </w:pPr>
            <w:r w:rsidRPr="00B25730">
              <w:rPr>
                <w:b/>
                <w:bCs/>
              </w:rPr>
              <w:t>Znojemsko a</w:t>
            </w:r>
            <w:r w:rsidR="00835923">
              <w:rPr>
                <w:b/>
                <w:bCs/>
              </w:rPr>
              <w:t> </w:t>
            </w:r>
            <w:r w:rsidRPr="00B25730">
              <w:rPr>
                <w:b/>
                <w:bCs/>
              </w:rPr>
              <w:t>Podyjí</w:t>
            </w:r>
          </w:p>
        </w:tc>
        <w:tc>
          <w:tcPr>
            <w:tcW w:w="1984" w:type="dxa"/>
          </w:tcPr>
          <w:p w14:paraId="5A53CB77" w14:textId="2A795DB5" w:rsidR="00037E08" w:rsidRDefault="000D0C46" w:rsidP="00037E08">
            <w:r>
              <w:t>367 310</w:t>
            </w:r>
            <w:r w:rsidR="00037E08">
              <w:t xml:space="preserve"> </w:t>
            </w:r>
            <w:r w:rsidR="00037E08" w:rsidRPr="00835923">
              <w:rPr>
                <w:color w:val="1D34FE"/>
              </w:rPr>
              <w:t>(</w:t>
            </w:r>
            <w:r w:rsidR="009A7093" w:rsidRPr="00835923">
              <w:rPr>
                <w:color w:val="1D34FE"/>
              </w:rPr>
              <w:t>8</w:t>
            </w:r>
            <w:r w:rsidR="00037E08" w:rsidRPr="00835923">
              <w:rPr>
                <w:color w:val="1D34FE"/>
              </w:rPr>
              <w:t xml:space="preserve"> %)</w:t>
            </w:r>
          </w:p>
        </w:tc>
        <w:tc>
          <w:tcPr>
            <w:tcW w:w="1985" w:type="dxa"/>
          </w:tcPr>
          <w:p w14:paraId="37675DC8" w14:textId="41A024E0" w:rsidR="00037E08" w:rsidRDefault="00037E08" w:rsidP="00037E08">
            <w:r>
              <w:t xml:space="preserve">222 775 </w:t>
            </w:r>
            <w:r w:rsidRPr="00835923">
              <w:rPr>
                <w:color w:val="1D34FE"/>
              </w:rPr>
              <w:t>(10 %)</w:t>
            </w:r>
          </w:p>
        </w:tc>
        <w:tc>
          <w:tcPr>
            <w:tcW w:w="1984" w:type="dxa"/>
          </w:tcPr>
          <w:p w14:paraId="13858698" w14:textId="76915372" w:rsidR="00037E08" w:rsidRDefault="00037E08" w:rsidP="00037E08">
            <w:r>
              <w:t xml:space="preserve">510 032 </w:t>
            </w:r>
            <w:r w:rsidRPr="00835923">
              <w:rPr>
                <w:color w:val="1D34FE"/>
              </w:rPr>
              <w:t>(8 %)</w:t>
            </w:r>
          </w:p>
        </w:tc>
        <w:tc>
          <w:tcPr>
            <w:tcW w:w="1985" w:type="dxa"/>
          </w:tcPr>
          <w:p w14:paraId="04892CE5" w14:textId="4CFF62CF" w:rsidR="00037E08" w:rsidRDefault="00037E08" w:rsidP="00037E08">
            <w:r>
              <w:t xml:space="preserve">945 582 </w:t>
            </w:r>
            <w:r w:rsidRPr="00E65A53">
              <w:rPr>
                <w:color w:val="1D34FE"/>
              </w:rPr>
              <w:t>(6 %)</w:t>
            </w:r>
          </w:p>
        </w:tc>
      </w:tr>
      <w:tr w:rsidR="00037E08" w14:paraId="774CAA46" w14:textId="4785857C" w:rsidTr="00835923">
        <w:trPr>
          <w:trHeight w:val="274"/>
        </w:trPr>
        <w:tc>
          <w:tcPr>
            <w:tcW w:w="2122" w:type="dxa"/>
          </w:tcPr>
          <w:p w14:paraId="1EC61483" w14:textId="3BE70034" w:rsidR="00037E08" w:rsidRPr="00B25730" w:rsidRDefault="00037E08" w:rsidP="00037E08">
            <w:pPr>
              <w:rPr>
                <w:b/>
                <w:bCs/>
              </w:rPr>
            </w:pPr>
            <w:r w:rsidRPr="00B25730">
              <w:rPr>
                <w:b/>
                <w:bCs/>
              </w:rPr>
              <w:t>Moravský kras</w:t>
            </w:r>
            <w:r>
              <w:rPr>
                <w:b/>
                <w:bCs/>
              </w:rPr>
              <w:t xml:space="preserve"> a</w:t>
            </w:r>
            <w:r w:rsidR="00835923">
              <w:rPr>
                <w:b/>
                <w:bCs/>
              </w:rPr>
              <w:t> </w:t>
            </w:r>
            <w:r>
              <w:rPr>
                <w:b/>
                <w:bCs/>
              </w:rPr>
              <w:t>okolí</w:t>
            </w:r>
          </w:p>
        </w:tc>
        <w:tc>
          <w:tcPr>
            <w:tcW w:w="1984" w:type="dxa"/>
          </w:tcPr>
          <w:p w14:paraId="437EDBB1" w14:textId="5475A5E0" w:rsidR="00037E08" w:rsidRDefault="000D0C46" w:rsidP="00037E08">
            <w:r>
              <w:t>347 912</w:t>
            </w:r>
            <w:r w:rsidR="00037E08">
              <w:t xml:space="preserve"> </w:t>
            </w:r>
            <w:r w:rsidR="00037E08" w:rsidRPr="00835923">
              <w:rPr>
                <w:color w:val="1D34FE"/>
              </w:rPr>
              <w:t>(</w:t>
            </w:r>
            <w:r w:rsidR="009A7093" w:rsidRPr="00835923">
              <w:rPr>
                <w:color w:val="1D34FE"/>
              </w:rPr>
              <w:t>8</w:t>
            </w:r>
            <w:r w:rsidR="00037E08" w:rsidRPr="00835923">
              <w:rPr>
                <w:color w:val="1D34FE"/>
              </w:rPr>
              <w:t xml:space="preserve"> %)</w:t>
            </w:r>
          </w:p>
        </w:tc>
        <w:tc>
          <w:tcPr>
            <w:tcW w:w="1985" w:type="dxa"/>
          </w:tcPr>
          <w:p w14:paraId="300DA26F" w14:textId="7AF3805C" w:rsidR="00037E08" w:rsidRDefault="00037E08" w:rsidP="00037E08">
            <w:r>
              <w:t xml:space="preserve">263 030 </w:t>
            </w:r>
            <w:r w:rsidRPr="00835923">
              <w:rPr>
                <w:color w:val="1D34FE"/>
              </w:rPr>
              <w:t>(8 %)</w:t>
            </w:r>
          </w:p>
        </w:tc>
        <w:tc>
          <w:tcPr>
            <w:tcW w:w="1984" w:type="dxa"/>
          </w:tcPr>
          <w:p w14:paraId="161D42AF" w14:textId="2FB99C35" w:rsidR="00037E08" w:rsidRDefault="00037E08" w:rsidP="00037E08">
            <w:r>
              <w:t xml:space="preserve">455 703 </w:t>
            </w:r>
            <w:r w:rsidRPr="00E65A53">
              <w:rPr>
                <w:color w:val="1D34FE"/>
              </w:rPr>
              <w:t>(7 %)</w:t>
            </w:r>
          </w:p>
        </w:tc>
        <w:tc>
          <w:tcPr>
            <w:tcW w:w="1985" w:type="dxa"/>
          </w:tcPr>
          <w:p w14:paraId="7B93FC8D" w14:textId="02E790F0" w:rsidR="00037E08" w:rsidRDefault="00037E08" w:rsidP="00037E08">
            <w:r>
              <w:t xml:space="preserve">659 559 </w:t>
            </w:r>
            <w:r w:rsidRPr="00E65A53">
              <w:rPr>
                <w:color w:val="1D34FE"/>
              </w:rPr>
              <w:t>(6 %)</w:t>
            </w:r>
          </w:p>
        </w:tc>
      </w:tr>
      <w:tr w:rsidR="00037E08" w14:paraId="54F0BC6B" w14:textId="17082CB9" w:rsidTr="00835923">
        <w:trPr>
          <w:trHeight w:val="274"/>
        </w:trPr>
        <w:tc>
          <w:tcPr>
            <w:tcW w:w="2122" w:type="dxa"/>
          </w:tcPr>
          <w:p w14:paraId="532D45C6" w14:textId="77777777" w:rsidR="00037E08" w:rsidRPr="00B25730" w:rsidRDefault="00037E08" w:rsidP="00037E08">
            <w:pPr>
              <w:rPr>
                <w:b/>
                <w:bCs/>
              </w:rPr>
            </w:pPr>
            <w:r w:rsidRPr="00B25730">
              <w:rPr>
                <w:b/>
                <w:bCs/>
              </w:rPr>
              <w:t>Pálava</w:t>
            </w:r>
          </w:p>
        </w:tc>
        <w:tc>
          <w:tcPr>
            <w:tcW w:w="1984" w:type="dxa"/>
          </w:tcPr>
          <w:p w14:paraId="59D261CE" w14:textId="6B2EFA9D" w:rsidR="00037E08" w:rsidRDefault="000D0C46" w:rsidP="00037E08">
            <w:r>
              <w:t>301 528</w:t>
            </w:r>
            <w:r w:rsidR="00037E08">
              <w:t xml:space="preserve"> </w:t>
            </w:r>
            <w:r w:rsidR="00037E08" w:rsidRPr="00835923">
              <w:rPr>
                <w:color w:val="1D34FE"/>
              </w:rPr>
              <w:t>(1</w:t>
            </w:r>
            <w:r w:rsidR="009A7093" w:rsidRPr="00835923">
              <w:rPr>
                <w:color w:val="1D34FE"/>
              </w:rPr>
              <w:t>2</w:t>
            </w:r>
            <w:r w:rsidR="00037E08" w:rsidRPr="00835923">
              <w:rPr>
                <w:color w:val="1D34FE"/>
              </w:rPr>
              <w:t xml:space="preserve"> %)</w:t>
            </w:r>
          </w:p>
        </w:tc>
        <w:tc>
          <w:tcPr>
            <w:tcW w:w="1985" w:type="dxa"/>
          </w:tcPr>
          <w:p w14:paraId="0ADAB0FF" w14:textId="38CD7A42" w:rsidR="00037E08" w:rsidRDefault="00037E08" w:rsidP="00037E08">
            <w:r>
              <w:t xml:space="preserve">194 753 </w:t>
            </w:r>
            <w:r w:rsidRPr="00835923">
              <w:rPr>
                <w:color w:val="1D34FE"/>
              </w:rPr>
              <w:t>(19 %)</w:t>
            </w:r>
          </w:p>
        </w:tc>
        <w:tc>
          <w:tcPr>
            <w:tcW w:w="1984" w:type="dxa"/>
          </w:tcPr>
          <w:p w14:paraId="02C4E7FA" w14:textId="730063B1" w:rsidR="00037E08" w:rsidRDefault="00037E08" w:rsidP="00037E08">
            <w:r>
              <w:t xml:space="preserve">561 626 </w:t>
            </w:r>
            <w:r w:rsidRPr="00E65A53">
              <w:rPr>
                <w:color w:val="1D34FE"/>
              </w:rPr>
              <w:t>(10 %)</w:t>
            </w:r>
          </w:p>
        </w:tc>
        <w:tc>
          <w:tcPr>
            <w:tcW w:w="1985" w:type="dxa"/>
          </w:tcPr>
          <w:p w14:paraId="57042448" w14:textId="1409E691" w:rsidR="00037E08" w:rsidRDefault="00037E08" w:rsidP="00037E08">
            <w:r>
              <w:t xml:space="preserve">1 060 569 </w:t>
            </w:r>
            <w:r w:rsidRPr="00E65A53">
              <w:rPr>
                <w:color w:val="1D34FE"/>
              </w:rPr>
              <w:t>(8 %)</w:t>
            </w:r>
          </w:p>
        </w:tc>
      </w:tr>
      <w:tr w:rsidR="00037E08" w14:paraId="3FE4071A" w14:textId="135F5387" w:rsidTr="00835923">
        <w:trPr>
          <w:trHeight w:val="274"/>
        </w:trPr>
        <w:tc>
          <w:tcPr>
            <w:tcW w:w="2122" w:type="dxa"/>
          </w:tcPr>
          <w:p w14:paraId="3F7B8CE1" w14:textId="1B210787" w:rsidR="00037E08" w:rsidRPr="00B25730" w:rsidRDefault="00037E08" w:rsidP="00037E08">
            <w:pPr>
              <w:rPr>
                <w:b/>
                <w:bCs/>
              </w:rPr>
            </w:pPr>
            <w:r>
              <w:rPr>
                <w:b/>
                <w:bCs/>
              </w:rPr>
              <w:t>Slovácko</w:t>
            </w:r>
          </w:p>
        </w:tc>
        <w:tc>
          <w:tcPr>
            <w:tcW w:w="1984" w:type="dxa"/>
          </w:tcPr>
          <w:p w14:paraId="2DF5C197" w14:textId="247C9FC8" w:rsidR="00037E08" w:rsidRDefault="000D0C46" w:rsidP="00037E08">
            <w:r>
              <w:t>415 395</w:t>
            </w:r>
            <w:r w:rsidR="00037E08">
              <w:t xml:space="preserve"> </w:t>
            </w:r>
            <w:r w:rsidR="00037E08" w:rsidRPr="00835923">
              <w:rPr>
                <w:color w:val="1D34FE"/>
              </w:rPr>
              <w:t>(</w:t>
            </w:r>
            <w:r w:rsidR="009A7093" w:rsidRPr="00835923">
              <w:rPr>
                <w:color w:val="1D34FE"/>
              </w:rPr>
              <w:t>9</w:t>
            </w:r>
            <w:r w:rsidR="00037E08" w:rsidRPr="00835923">
              <w:rPr>
                <w:color w:val="1D34FE"/>
              </w:rPr>
              <w:t xml:space="preserve"> %)</w:t>
            </w:r>
          </w:p>
        </w:tc>
        <w:tc>
          <w:tcPr>
            <w:tcW w:w="1985" w:type="dxa"/>
          </w:tcPr>
          <w:p w14:paraId="01D86DCE" w14:textId="2245D4BC" w:rsidR="00037E08" w:rsidRDefault="00037E08" w:rsidP="00037E08">
            <w:r>
              <w:t xml:space="preserve">235 729 </w:t>
            </w:r>
            <w:r w:rsidRPr="00835923">
              <w:rPr>
                <w:color w:val="1D34FE"/>
              </w:rPr>
              <w:t>(11 %)</w:t>
            </w:r>
          </w:p>
        </w:tc>
        <w:tc>
          <w:tcPr>
            <w:tcW w:w="1984" w:type="dxa"/>
          </w:tcPr>
          <w:p w14:paraId="66F9380C" w14:textId="30C215A5" w:rsidR="00037E08" w:rsidRDefault="00037E08" w:rsidP="00037E08">
            <w:r>
              <w:t xml:space="preserve">481 229 </w:t>
            </w:r>
            <w:r w:rsidRPr="00E65A53">
              <w:rPr>
                <w:color w:val="1D34FE"/>
              </w:rPr>
              <w:t>(9 %)</w:t>
            </w:r>
          </w:p>
        </w:tc>
        <w:tc>
          <w:tcPr>
            <w:tcW w:w="1985" w:type="dxa"/>
          </w:tcPr>
          <w:p w14:paraId="01E817C1" w14:textId="0060F6D7" w:rsidR="00037E08" w:rsidRDefault="00037E08" w:rsidP="00037E08">
            <w:r>
              <w:t xml:space="preserve">739 234 </w:t>
            </w:r>
            <w:r w:rsidRPr="00E65A53">
              <w:rPr>
                <w:color w:val="1D34FE"/>
              </w:rPr>
              <w:t>(8 %)</w:t>
            </w:r>
          </w:p>
        </w:tc>
      </w:tr>
    </w:tbl>
    <w:p w14:paraId="2C332A9B" w14:textId="77777777" w:rsidR="0099377F" w:rsidRDefault="0099377F" w:rsidP="00D62CCD">
      <w:pPr>
        <w:rPr>
          <w:b/>
          <w:bCs/>
        </w:rPr>
      </w:pPr>
    </w:p>
    <w:p w14:paraId="020AD559" w14:textId="217B1FE3" w:rsidR="00217D38" w:rsidRDefault="00217D38" w:rsidP="00D62CCD">
      <w:pPr>
        <w:rPr>
          <w:b/>
          <w:bCs/>
        </w:rPr>
      </w:pPr>
      <w:r w:rsidRPr="000D425F">
        <w:t>Kompletní data najdete zd</w:t>
      </w:r>
      <w:r w:rsidR="00B769BA">
        <w:t xml:space="preserve">e: </w:t>
      </w:r>
      <w:hyperlink r:id="rId7" w:history="1">
        <w:r w:rsidR="00B769BA" w:rsidRPr="00B769BA">
          <w:rPr>
            <w:rStyle w:val="Hypertextovodkaz"/>
          </w:rPr>
          <w:t>www.ccrjm.cz/statistiky/</w:t>
        </w:r>
      </w:hyperlink>
    </w:p>
    <w:p w14:paraId="22E68D5A" w14:textId="77777777" w:rsidR="00217D38" w:rsidRDefault="00217D38" w:rsidP="00D62CCD">
      <w:pPr>
        <w:rPr>
          <w:b/>
          <w:bCs/>
        </w:rPr>
      </w:pPr>
    </w:p>
    <w:p w14:paraId="0F913815" w14:textId="10F543B5" w:rsidR="00D62CCD" w:rsidRPr="00DE2BF9" w:rsidRDefault="00D62CCD" w:rsidP="00D62CCD">
      <w:pPr>
        <w:rPr>
          <w:b/>
          <w:bCs/>
        </w:rPr>
      </w:pPr>
      <w:r w:rsidRPr="00DE2BF9">
        <w:rPr>
          <w:b/>
          <w:bCs/>
        </w:rPr>
        <w:t xml:space="preserve">KONTAKT PRO MÉDIA: </w:t>
      </w:r>
    </w:p>
    <w:p w14:paraId="54718943" w14:textId="77777777" w:rsidR="00AC0153" w:rsidRDefault="00AC0153" w:rsidP="004E18A4">
      <w:pPr>
        <w:tabs>
          <w:tab w:val="left" w:pos="0"/>
        </w:tabs>
        <w:spacing w:after="0" w:line="240" w:lineRule="auto"/>
        <w:sectPr w:rsidR="00AC0153" w:rsidSect="001063E5">
          <w:headerReference w:type="default" r:id="rId8"/>
          <w:headerReference w:type="first" r:id="rId9"/>
          <w:pgSz w:w="11906" w:h="16838"/>
          <w:pgMar w:top="1843" w:right="1274" w:bottom="709" w:left="1417" w:header="708" w:footer="708" w:gutter="0"/>
          <w:cols w:space="708"/>
          <w:titlePg/>
          <w:docGrid w:linePitch="360"/>
        </w:sectPr>
      </w:pPr>
    </w:p>
    <w:p w14:paraId="54AD23B2" w14:textId="2EA3030B" w:rsidR="00AC0153" w:rsidRPr="000D425F" w:rsidRDefault="00357843" w:rsidP="00445A1E">
      <w:pPr>
        <w:rPr>
          <w:b/>
          <w:bCs/>
        </w:rPr>
      </w:pPr>
      <w:r w:rsidRPr="005C7642">
        <w:rPr>
          <w:b/>
          <w:bCs/>
          <w:color w:val="1D34FE"/>
        </w:rPr>
        <w:t>Martina Grůzová</w:t>
      </w:r>
      <w:r>
        <w:br/>
        <w:t>Ředitelka</w:t>
      </w:r>
      <w:r>
        <w:br/>
      </w:r>
      <w:r w:rsidRPr="005A65DE">
        <w:rPr>
          <w:b/>
          <w:bCs/>
        </w:rPr>
        <w:t xml:space="preserve">Centrála cestovního ruchu </w:t>
      </w:r>
      <w:r w:rsidRPr="005A65DE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–</w:t>
      </w:r>
      <w:r w:rsidRPr="005A65DE">
        <w:rPr>
          <w:b/>
          <w:bCs/>
        </w:rPr>
        <w:t xml:space="preserve"> Jižní Morava</w:t>
      </w:r>
      <w:r>
        <w:br/>
        <w:t>mob: +420 725 488 889</w:t>
      </w:r>
      <w:r>
        <w:br/>
        <w:t xml:space="preserve">e-mail: </w:t>
      </w:r>
      <w:hyperlink r:id="rId10" w:history="1">
        <w:r w:rsidRPr="00CE7D59">
          <w:rPr>
            <w:rStyle w:val="Hypertextovodkaz"/>
          </w:rPr>
          <w:t>gruzova@jizni-morava.cz</w:t>
        </w:r>
      </w:hyperlink>
    </w:p>
    <w:p w14:paraId="78A43E64" w14:textId="75469C13" w:rsidR="2DEA6066" w:rsidRPr="009A7093" w:rsidRDefault="00000000" w:rsidP="2BA230B2">
      <w:pPr>
        <w:tabs>
          <w:tab w:val="left" w:pos="4536"/>
        </w:tabs>
        <w:spacing w:after="0" w:line="240" w:lineRule="auto"/>
        <w:rPr>
          <w:b/>
          <w:bCs/>
          <w:color w:val="1D34FE"/>
        </w:rPr>
      </w:pPr>
      <w:hyperlink r:id="rId11">
        <w:r w:rsidR="00D62CCD" w:rsidRPr="2BA230B2">
          <w:rPr>
            <w:rStyle w:val="Hypertextovodkaz"/>
          </w:rPr>
          <w:t>Instagram</w:t>
        </w:r>
      </w:hyperlink>
      <w:r w:rsidR="00D62CCD">
        <w:t xml:space="preserve"> | </w:t>
      </w:r>
      <w:hyperlink r:id="rId12">
        <w:r w:rsidR="00D62CCD" w:rsidRPr="2BA230B2">
          <w:rPr>
            <w:rStyle w:val="Hypertextovodkaz"/>
          </w:rPr>
          <w:t>Facebook</w:t>
        </w:r>
      </w:hyperlink>
      <w:r w:rsidR="00D62CCD">
        <w:t xml:space="preserve"> | </w:t>
      </w:r>
      <w:hyperlink r:id="rId13">
        <w:r w:rsidR="00D62CCD" w:rsidRPr="2BA230B2">
          <w:rPr>
            <w:rStyle w:val="Hypertextovodkaz"/>
          </w:rPr>
          <w:t>web</w:t>
        </w:r>
      </w:hyperlink>
      <w:r w:rsidR="009A7093">
        <w:rPr>
          <w:rStyle w:val="Hypertextovodkaz"/>
        </w:rPr>
        <w:br w:type="column"/>
      </w:r>
      <w:r w:rsidR="2DEA6066" w:rsidRPr="009A7093">
        <w:rPr>
          <w:b/>
          <w:bCs/>
          <w:color w:val="1D34FE"/>
        </w:rPr>
        <w:t>Martin Šauer</w:t>
      </w:r>
    </w:p>
    <w:p w14:paraId="53841055" w14:textId="6217D2D9" w:rsidR="7077BD75" w:rsidRPr="005A65DE" w:rsidRDefault="7077BD75" w:rsidP="00A92444">
      <w:pPr>
        <w:spacing w:after="300"/>
        <w:ind w:right="-354"/>
        <w:rPr>
          <w:rStyle w:val="Hypertextovodkaz"/>
          <w:color w:val="auto"/>
          <w:u w:val="none"/>
        </w:rPr>
      </w:pPr>
      <w:r w:rsidRPr="005A65DE">
        <w:t>Katedra regionální ekonomie | Institut cestovního ruchu | Institut pro dopravní ekonomii, geografie a</w:t>
      </w:r>
      <w:r w:rsidR="005A65DE">
        <w:t> </w:t>
      </w:r>
      <w:r w:rsidRPr="005A65DE">
        <w:t>politiku</w:t>
      </w:r>
      <w:r w:rsidR="005A65DE">
        <w:br/>
      </w:r>
      <w:r w:rsidR="005A65DE" w:rsidRPr="005A65DE">
        <w:rPr>
          <w:b/>
          <w:bCs/>
        </w:rPr>
        <w:t>Masarykova univerzita | Ekonomicko-správní fakulta</w:t>
      </w:r>
      <w:r w:rsidR="005A65DE">
        <w:br/>
        <w:t>tel:</w:t>
      </w:r>
      <w:r w:rsidR="005A65DE" w:rsidRPr="2BA230B2">
        <w:rPr>
          <w:rFonts w:ascii="Arial" w:eastAsia="Arial" w:hAnsi="Arial" w:cs="Arial"/>
          <w:color w:val="0000DC"/>
          <w:sz w:val="18"/>
          <w:szCs w:val="18"/>
        </w:rPr>
        <w:t xml:space="preserve"> </w:t>
      </w:r>
      <w:r w:rsidR="005A65DE" w:rsidRPr="005A65DE">
        <w:t xml:space="preserve">+420 </w:t>
      </w:r>
      <w:hyperlink r:id="rId14" w:history="1">
        <w:r w:rsidR="005A65DE" w:rsidRPr="005A65DE">
          <w:t>549 497 617</w:t>
        </w:r>
      </w:hyperlink>
      <w:r w:rsidR="005A65DE" w:rsidRPr="005A65DE">
        <w:t xml:space="preserve"> | </w:t>
      </w:r>
      <w:r w:rsidR="005A65DE">
        <w:t>mob:</w:t>
      </w:r>
      <w:r w:rsidR="005A65DE" w:rsidRPr="005A65DE">
        <w:t xml:space="preserve"> </w:t>
      </w:r>
      <w:r w:rsidR="005A65DE">
        <w:t xml:space="preserve">+420 </w:t>
      </w:r>
      <w:hyperlink r:id="rId15" w:history="1">
        <w:r w:rsidR="005A65DE" w:rsidRPr="005A65DE">
          <w:t>777 135 536</w:t>
        </w:r>
      </w:hyperlink>
      <w:r w:rsidR="005A65DE">
        <w:br/>
        <w:t>e-mail:</w:t>
      </w:r>
      <w:r w:rsidR="005A65DE" w:rsidRPr="2BA230B2">
        <w:rPr>
          <w:rFonts w:ascii="Arial" w:eastAsia="Arial" w:hAnsi="Arial" w:cs="Arial"/>
          <w:color w:val="0000DC"/>
          <w:sz w:val="18"/>
          <w:szCs w:val="18"/>
        </w:rPr>
        <w:t xml:space="preserve"> </w:t>
      </w:r>
      <w:hyperlink r:id="rId16" w:history="1">
        <w:r w:rsidR="005A65DE" w:rsidRPr="005A65DE">
          <w:rPr>
            <w:rStyle w:val="Hypertextovodkaz"/>
          </w:rPr>
          <w:t>sauer@econ.muni.cz</w:t>
        </w:r>
      </w:hyperlink>
    </w:p>
    <w:p w14:paraId="43078547" w14:textId="79FF4823" w:rsidR="2BA230B2" w:rsidRDefault="2BA230B2" w:rsidP="00A92444">
      <w:pPr>
        <w:tabs>
          <w:tab w:val="left" w:pos="4111"/>
        </w:tabs>
        <w:spacing w:after="0" w:line="240" w:lineRule="auto"/>
      </w:pPr>
    </w:p>
    <w:sectPr w:rsidR="2BA230B2" w:rsidSect="001063E5">
      <w:type w:val="continuous"/>
      <w:pgSz w:w="11906" w:h="16838"/>
      <w:pgMar w:top="1417" w:right="1417" w:bottom="1276" w:left="1417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0DF52" w14:textId="77777777" w:rsidR="001063E5" w:rsidRDefault="001063E5" w:rsidP="003C13A9">
      <w:pPr>
        <w:spacing w:after="0" w:line="240" w:lineRule="auto"/>
      </w:pPr>
      <w:r>
        <w:separator/>
      </w:r>
    </w:p>
  </w:endnote>
  <w:endnote w:type="continuationSeparator" w:id="0">
    <w:p w14:paraId="2AED3435" w14:textId="77777777" w:rsidR="001063E5" w:rsidRDefault="001063E5" w:rsidP="003C1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eleNeo Offic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80E4F" w14:textId="77777777" w:rsidR="001063E5" w:rsidRDefault="001063E5" w:rsidP="003C13A9">
      <w:pPr>
        <w:spacing w:after="0" w:line="240" w:lineRule="auto"/>
      </w:pPr>
      <w:r>
        <w:separator/>
      </w:r>
    </w:p>
  </w:footnote>
  <w:footnote w:type="continuationSeparator" w:id="0">
    <w:p w14:paraId="773E1EF2" w14:textId="77777777" w:rsidR="001063E5" w:rsidRDefault="001063E5" w:rsidP="003C1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212E6" w14:textId="295887D0" w:rsidR="003C13A9" w:rsidRDefault="003C13A9" w:rsidP="003C13A9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FB864" w14:textId="49562722" w:rsidR="007D62B8" w:rsidRDefault="007D62B8" w:rsidP="007D62B8">
    <w:pPr>
      <w:pStyle w:val="Zhlav"/>
      <w:jc w:val="right"/>
    </w:pPr>
    <w:r>
      <w:rPr>
        <w:noProof/>
      </w:rPr>
      <w:drawing>
        <wp:inline distT="0" distB="0" distL="0" distR="0" wp14:anchorId="092827C2" wp14:editId="648A003C">
          <wp:extent cx="1881187" cy="616694"/>
          <wp:effectExtent l="0" t="0" r="5080" b="0"/>
          <wp:docPr id="1177856585" name="Obrázek 11778565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3179986" name="Obrázek 186317998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8867" cy="622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A1"/>
    <w:rsid w:val="00013998"/>
    <w:rsid w:val="000145DD"/>
    <w:rsid w:val="00026FCF"/>
    <w:rsid w:val="00031856"/>
    <w:rsid w:val="00037E08"/>
    <w:rsid w:val="000521B0"/>
    <w:rsid w:val="00063A0D"/>
    <w:rsid w:val="00095DAC"/>
    <w:rsid w:val="000A1D3B"/>
    <w:rsid w:val="000B09A9"/>
    <w:rsid w:val="000C4C01"/>
    <w:rsid w:val="000D0C46"/>
    <w:rsid w:val="000D425F"/>
    <w:rsid w:val="001063E5"/>
    <w:rsid w:val="00107D09"/>
    <w:rsid w:val="00126963"/>
    <w:rsid w:val="001448CD"/>
    <w:rsid w:val="00146A69"/>
    <w:rsid w:val="00194931"/>
    <w:rsid w:val="002024ED"/>
    <w:rsid w:val="00217D38"/>
    <w:rsid w:val="00281CCE"/>
    <w:rsid w:val="002E5747"/>
    <w:rsid w:val="003132E2"/>
    <w:rsid w:val="003218E2"/>
    <w:rsid w:val="003513E3"/>
    <w:rsid w:val="00357843"/>
    <w:rsid w:val="003734D7"/>
    <w:rsid w:val="00383764"/>
    <w:rsid w:val="003871D8"/>
    <w:rsid w:val="003A161C"/>
    <w:rsid w:val="003B5AAE"/>
    <w:rsid w:val="003C13A9"/>
    <w:rsid w:val="003E5A52"/>
    <w:rsid w:val="00405976"/>
    <w:rsid w:val="00412004"/>
    <w:rsid w:val="00420126"/>
    <w:rsid w:val="00445A1E"/>
    <w:rsid w:val="00460CFB"/>
    <w:rsid w:val="0046708B"/>
    <w:rsid w:val="00477840"/>
    <w:rsid w:val="00494BA1"/>
    <w:rsid w:val="004E18A4"/>
    <w:rsid w:val="00540E9F"/>
    <w:rsid w:val="00547DF9"/>
    <w:rsid w:val="00574F2E"/>
    <w:rsid w:val="00587D62"/>
    <w:rsid w:val="005A0D1C"/>
    <w:rsid w:val="005A65DE"/>
    <w:rsid w:val="005B49B3"/>
    <w:rsid w:val="005D7774"/>
    <w:rsid w:val="005E0F1C"/>
    <w:rsid w:val="00633E99"/>
    <w:rsid w:val="00644F8D"/>
    <w:rsid w:val="00655DC5"/>
    <w:rsid w:val="00697829"/>
    <w:rsid w:val="006C4B13"/>
    <w:rsid w:val="006F5BB0"/>
    <w:rsid w:val="0070106D"/>
    <w:rsid w:val="007036D8"/>
    <w:rsid w:val="00711D1E"/>
    <w:rsid w:val="00742BED"/>
    <w:rsid w:val="00750BC5"/>
    <w:rsid w:val="00751419"/>
    <w:rsid w:val="00755517"/>
    <w:rsid w:val="007834BA"/>
    <w:rsid w:val="00783631"/>
    <w:rsid w:val="00791055"/>
    <w:rsid w:val="00795A61"/>
    <w:rsid w:val="007A0876"/>
    <w:rsid w:val="007D62B8"/>
    <w:rsid w:val="007F436A"/>
    <w:rsid w:val="00835923"/>
    <w:rsid w:val="008476D2"/>
    <w:rsid w:val="00883D5F"/>
    <w:rsid w:val="00895226"/>
    <w:rsid w:val="008F02D3"/>
    <w:rsid w:val="009110EE"/>
    <w:rsid w:val="00932092"/>
    <w:rsid w:val="00945F2C"/>
    <w:rsid w:val="009521D4"/>
    <w:rsid w:val="00954F58"/>
    <w:rsid w:val="0099092B"/>
    <w:rsid w:val="0099377F"/>
    <w:rsid w:val="009A1AFE"/>
    <w:rsid w:val="009A3316"/>
    <w:rsid w:val="009A7093"/>
    <w:rsid w:val="009E1EF2"/>
    <w:rsid w:val="009F3DAF"/>
    <w:rsid w:val="00A40CFF"/>
    <w:rsid w:val="00A54F17"/>
    <w:rsid w:val="00A5781F"/>
    <w:rsid w:val="00A6193E"/>
    <w:rsid w:val="00A75FC4"/>
    <w:rsid w:val="00A802FC"/>
    <w:rsid w:val="00A92444"/>
    <w:rsid w:val="00A94B2F"/>
    <w:rsid w:val="00AC0153"/>
    <w:rsid w:val="00AC3520"/>
    <w:rsid w:val="00B035B8"/>
    <w:rsid w:val="00B17EFF"/>
    <w:rsid w:val="00B301BC"/>
    <w:rsid w:val="00B41AF8"/>
    <w:rsid w:val="00B5518F"/>
    <w:rsid w:val="00B769BA"/>
    <w:rsid w:val="00BB5078"/>
    <w:rsid w:val="00BB602A"/>
    <w:rsid w:val="00BE3B7B"/>
    <w:rsid w:val="00BF3FD3"/>
    <w:rsid w:val="00C47481"/>
    <w:rsid w:val="00C8493D"/>
    <w:rsid w:val="00C96733"/>
    <w:rsid w:val="00CA3D27"/>
    <w:rsid w:val="00CC4E04"/>
    <w:rsid w:val="00CD6DF2"/>
    <w:rsid w:val="00CE4F8C"/>
    <w:rsid w:val="00D06163"/>
    <w:rsid w:val="00D10EFB"/>
    <w:rsid w:val="00D40988"/>
    <w:rsid w:val="00D40B42"/>
    <w:rsid w:val="00D51750"/>
    <w:rsid w:val="00D51E53"/>
    <w:rsid w:val="00D62CCD"/>
    <w:rsid w:val="00D731F6"/>
    <w:rsid w:val="00D92B2B"/>
    <w:rsid w:val="00DA71B1"/>
    <w:rsid w:val="00DC567D"/>
    <w:rsid w:val="00DD07CC"/>
    <w:rsid w:val="00DE2BF9"/>
    <w:rsid w:val="00DE6C35"/>
    <w:rsid w:val="00E04719"/>
    <w:rsid w:val="00E21705"/>
    <w:rsid w:val="00E240A7"/>
    <w:rsid w:val="00E40CDF"/>
    <w:rsid w:val="00E51E05"/>
    <w:rsid w:val="00E52EE3"/>
    <w:rsid w:val="00E65A53"/>
    <w:rsid w:val="00E73D36"/>
    <w:rsid w:val="00E821FD"/>
    <w:rsid w:val="00EA4A27"/>
    <w:rsid w:val="00EE6443"/>
    <w:rsid w:val="00F11B74"/>
    <w:rsid w:val="00F41B88"/>
    <w:rsid w:val="00F665D3"/>
    <w:rsid w:val="00FA7840"/>
    <w:rsid w:val="00FF532B"/>
    <w:rsid w:val="06DA5760"/>
    <w:rsid w:val="1800329E"/>
    <w:rsid w:val="2BA230B2"/>
    <w:rsid w:val="2DEA6066"/>
    <w:rsid w:val="332DF475"/>
    <w:rsid w:val="3F0F79E4"/>
    <w:rsid w:val="3FDB342E"/>
    <w:rsid w:val="7077BD75"/>
    <w:rsid w:val="7288F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621D44"/>
  <w15:chartTrackingRefBased/>
  <w15:docId w15:val="{E58C847C-2920-43B4-91ED-19C2CA6E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A71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521D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521D4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146A69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146A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46A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46A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6A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6A6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C1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13A9"/>
  </w:style>
  <w:style w:type="paragraph" w:styleId="Zpat">
    <w:name w:val="footer"/>
    <w:basedOn w:val="Normln"/>
    <w:link w:val="ZpatChar"/>
    <w:uiPriority w:val="99"/>
    <w:unhideWhenUsed/>
    <w:rsid w:val="003C1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13A9"/>
  </w:style>
  <w:style w:type="character" w:styleId="Sledovanodkaz">
    <w:name w:val="FollowedHyperlink"/>
    <w:basedOn w:val="Standardnpsmoodstavce"/>
    <w:uiPriority w:val="99"/>
    <w:semiHidden/>
    <w:unhideWhenUsed/>
    <w:rsid w:val="00DE2BF9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DA71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8F02D3"/>
    <w:pPr>
      <w:autoSpaceDE w:val="0"/>
      <w:autoSpaceDN w:val="0"/>
      <w:adjustRightInd w:val="0"/>
      <w:spacing w:after="0" w:line="240" w:lineRule="auto"/>
    </w:pPr>
    <w:rPr>
      <w:rFonts w:ascii="TeleNeo Office" w:hAnsi="TeleNeo Office" w:cs="TeleNeo Office"/>
      <w:color w:val="000000"/>
      <w:kern w:val="0"/>
      <w:sz w:val="24"/>
      <w:szCs w:val="24"/>
    </w:rPr>
  </w:style>
  <w:style w:type="table" w:styleId="Mkatabulky">
    <w:name w:val="Table Grid"/>
    <w:basedOn w:val="Normlntabulka"/>
    <w:uiPriority w:val="39"/>
    <w:rsid w:val="00E24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E240A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jizni-morava.cz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crjm.cz/statistiky/" TargetMode="External"/><Relationship Id="rId12" Type="http://schemas.openxmlformats.org/officeDocument/2006/relationships/hyperlink" Target="https://www.facebook.com/TheSouthMoravi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auer@econ.muni.cz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southmoravia/" TargetMode="External"/><Relationship Id="rId5" Type="http://schemas.openxmlformats.org/officeDocument/2006/relationships/footnotes" Target="footnotes.xml"/><Relationship Id="rId15" Type="http://schemas.openxmlformats.org/officeDocument/2006/relationships/hyperlink" Target="tel:+420777135536" TargetMode="External"/><Relationship Id="rId10" Type="http://schemas.openxmlformats.org/officeDocument/2006/relationships/hyperlink" Target="mailto:gruzova@jizni-morava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tel:+420549497617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17E00-38EB-4F02-A7FE-A1ECCDB50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674</Words>
  <Characters>3980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Vidová</dc:creator>
  <cp:keywords/>
  <dc:description/>
  <cp:lastModifiedBy>Martina Grůzová</cp:lastModifiedBy>
  <cp:revision>9</cp:revision>
  <dcterms:created xsi:type="dcterms:W3CDTF">2024-01-10T15:25:00Z</dcterms:created>
  <dcterms:modified xsi:type="dcterms:W3CDTF">2024-01-10T15:49:00Z</dcterms:modified>
</cp:coreProperties>
</file>